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50" w:lineRule="auto"/>
        <w:rPr>
          <w:rFonts w:ascii="Open Sans" w:cs="Open Sans" w:eastAsia="Open Sans" w:hAnsi="Open Sans"/>
          <w:color w:val="1b3a57"/>
          <w:sz w:val="42"/>
          <w:szCs w:val="42"/>
        </w:rPr>
      </w:pPr>
      <w:r w:rsidDel="00000000" w:rsidR="00000000" w:rsidRPr="00000000">
        <w:rPr>
          <w:rFonts w:ascii="Open Sans" w:cs="Open Sans" w:eastAsia="Open Sans" w:hAnsi="Open Sans"/>
          <w:color w:val="1b3a57"/>
          <w:sz w:val="42"/>
          <w:szCs w:val="42"/>
          <w:rtl w:val="0"/>
        </w:rPr>
        <w:t xml:space="preserve">Say It Plain: Grading Rubric</w:t>
      </w:r>
    </w:p>
    <w:p w:rsidR="00000000" w:rsidDel="00000000" w:rsidP="00000000" w:rsidRDefault="00000000" w:rsidRPr="00000000" w14:paraId="00000002">
      <w:pPr>
        <w:spacing w:after="220" w:before="0" w:line="276" w:lineRule="auto"/>
        <w:rPr>
          <w:rFonts w:ascii="Open Sans Light" w:cs="Open Sans Light" w:eastAsia="Open Sans Light" w:hAnsi="Open Sans Light"/>
          <w:i w:val="1"/>
          <w:iCs w:val="1"/>
          <w:color w:val="9a7b3f"/>
          <w:sz w:val="24"/>
          <w:szCs w:val="24"/>
        </w:rPr>
      </w:pPr>
      <w:r w:rsidDel="00000000" w:rsidR="00000000" w:rsidRPr="00000000">
        <w:rPr>
          <w:rFonts w:ascii="Open Sans Light" w:cs="Open Sans Light" w:eastAsia="Open Sans Light" w:hAnsi="Open Sans Light"/>
          <w:i w:val="1"/>
          <w:iCs w:val="1"/>
          <w:color w:val="9a7b3f"/>
          <w:sz w:val="24"/>
          <w:szCs w:val="24"/>
          <w:rtl w:val="0"/>
        </w:rPr>
        <w:t xml:space="preserve">Turning a review into client education</w:t>
      </w:r>
    </w:p>
    <w:p w:rsidR="00000000" w:rsidDel="00000000" w:rsidP="00000000" w:rsidRDefault="00000000" w:rsidRPr="00000000" w14:paraId="00000003">
      <w:pPr>
        <w:spacing w:after="40" w:before="0" w:lineRule="auto"/>
        <w:rPr>
          <w:rFonts w:ascii="Open Sans Light" w:cs="Open Sans Light" w:eastAsia="Open Sans Light" w:hAnsi="Open Sans Light"/>
          <w:color w:val="666666"/>
          <w:sz w:val="22"/>
          <w:szCs w:val="22"/>
        </w:rPr>
      </w:pPr>
      <w:r w:rsidDel="00000000" w:rsidR="00000000" w:rsidRPr="00000000">
        <w:rPr>
          <w:rFonts w:ascii="Open Sans Light" w:cs="Open Sans Light" w:eastAsia="Open Sans Light" w:hAnsi="Open Sans Light"/>
          <w:color w:val="666666"/>
          <w:sz w:val="22"/>
          <w:szCs w:val="22"/>
          <w:rtl w:val="0"/>
        </w:rPr>
        <w:t xml:space="preserve">CAA 3.1.1B · 3.1.6B · 3.4B</w:t>
      </w:r>
    </w:p>
    <w:p w:rsidR="00000000" w:rsidDel="00000000" w:rsidP="00000000" w:rsidRDefault="00000000" w:rsidRPr="00000000" w14:paraId="00000004">
      <w:pPr>
        <w:spacing w:after="140" w:before="0" w:lineRule="auto"/>
        <w:rPr>
          <w:rFonts w:ascii="Open Sans Light" w:cs="Open Sans Light" w:eastAsia="Open Sans Light" w:hAnsi="Open Sans Light"/>
          <w:color w:val="666666"/>
          <w:sz w:val="22"/>
          <w:szCs w:val="22"/>
        </w:rPr>
      </w:pPr>
      <w:r w:rsidDel="00000000" w:rsidR="00000000" w:rsidRPr="00000000">
        <w:rPr>
          <w:rFonts w:ascii="Open Sans Light" w:cs="Open Sans Light" w:eastAsia="Open Sans Light" w:hAnsi="Open Sans Light"/>
          <w:color w:val="666666"/>
          <w:sz w:val="22"/>
          <w:szCs w:val="22"/>
          <w:rtl w:val="0"/>
        </w:rPr>
        <w:t xml:space="preserve">CFCC 2027 IV-F · V-A · V-B 3a · V-B 3c</w:t>
      </w:r>
    </w:p>
    <w:tbl>
      <w:tblPr>
        <w:tblStyle w:val="Table1"/>
        <w:tblW w:w="107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00"/>
        <w:gridCol w:w="600"/>
        <w:gridCol w:w="2900"/>
        <w:gridCol w:w="2800"/>
        <w:gridCol w:w="2770"/>
        <w:tblGridChange w:id="0">
          <w:tblGrid>
            <w:gridCol w:w="1700"/>
            <w:gridCol w:w="600"/>
            <w:gridCol w:w="2900"/>
            <w:gridCol w:w="2800"/>
            <w:gridCol w:w="2770"/>
          </w:tblGrid>
        </w:tblGridChange>
      </w:tblGrid>
      <w:tr>
        <w:trPr>
          <w:cantSplit w:val="0"/>
          <w:tblHeader w:val="1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Pts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Full credit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Partial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Minimal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1. Your reader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Reader named, with a specific statement about their unique needs.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Reader named, with a general statement.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Reader named without a statement.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2. Three points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Three points or strategies drawn from the review, each with a reason tied to this reader.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Three points or strategies listed, with reasons that would fit any reader.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Fewer than three, or points not drawn from the review.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3. The handout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Reads as something a partner would use. Under 200 words, no clinical terms, concrete actions. Includes the honest sentence and one thing to try this week.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Usable but slips into clinical wording in places, runs long, or one element is missing.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Written in clinical register, or strategies are named without saying what to do.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4. Jargon check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Three or more pairs. Plain versions say the same thing rather than a softer version of it.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Three pairs, with one or two plain versions that lose part of the meaning.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Fewer than three pairs, or the plain version repeats the clinical term.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5. Conveying hard information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Points to a specific sentence in the handout and explains how it sets expectations while staying encouraging.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Describes the approach in general terms without pointing to the sentence.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The handout does not address what to expect at first.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Total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Style w:val="Heading1"/>
        <w:spacing w:after="140" w:before="300" w:lineRule="auto"/>
        <w:rPr/>
      </w:pPr>
      <w:bookmarkStart w:colFirst="0" w:colLast="0" w:name="_uvh9rm9mlcvz" w:id="0"/>
      <w:bookmarkEnd w:id="0"/>
      <w:r w:rsidDel="00000000" w:rsidR="00000000" w:rsidRPr="00000000">
        <w:rPr>
          <w:rtl w:val="0"/>
        </w:rPr>
        <w:t xml:space="preserve">Notes for the facilitator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70" w:line="276" w:lineRule="auto"/>
        <w:ind w:left="440" w:hanging="250"/>
        <w:rPr>
          <w:rFonts w:ascii="Open Sans Light" w:cs="Open Sans Light" w:eastAsia="Open Sans Light" w:hAnsi="Open Sans Light"/>
          <w:sz w:val="20"/>
          <w:szCs w:val="20"/>
        </w:rPr>
      </w:pP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Adjust grading/points to align with desired values for course.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70" w:line="276" w:lineRule="auto"/>
        <w:ind w:left="440" w:hanging="250"/>
        <w:rPr>
          <w:rFonts w:ascii="Open Sans Light" w:cs="Open Sans Light" w:eastAsia="Open Sans Light" w:hAnsi="Open Sans Light"/>
          <w:sz w:val="20"/>
          <w:szCs w:val="20"/>
        </w:rPr>
      </w:pP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Part 3 is the bulk of the assignment. Parts 1, 2, 4, and 5 exist to make the handout better and to show the thinking behind it.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70" w:line="276" w:lineRule="auto"/>
        <w:ind w:left="440" w:hanging="250"/>
        <w:rPr>
          <w:rFonts w:ascii="Open Sans Light" w:cs="Open Sans Light" w:eastAsia="Open Sans Light" w:hAnsi="Open Sans Light"/>
          <w:sz w:val="20"/>
          <w:szCs w:val="20"/>
        </w:rPr>
      </w:pP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There is no single correct handout. What the rubric looks for is whether the reader could act on it without stopping to ask what a word means.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70" w:line="276" w:lineRule="auto"/>
        <w:ind w:left="440" w:hanging="250"/>
        <w:rPr>
          <w:rFonts w:ascii="Open Sans Light" w:cs="Open Sans Light" w:eastAsia="Open Sans Light" w:hAnsi="Open Sans Light"/>
          <w:sz w:val="20"/>
          <w:szCs w:val="20"/>
        </w:rPr>
      </w:pP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Part 4 catches the common mistake, which is a plain word that quietly means something narrower or safer than the clinical term it replaced.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70" w:line="276" w:lineRule="auto"/>
        <w:ind w:left="440" w:hanging="250"/>
        <w:rPr>
          <w:rFonts w:ascii="Open Sans Light" w:cs="Open Sans Light" w:eastAsia="Open Sans Light" w:hAnsi="Open Sans Light"/>
          <w:sz w:val="20"/>
          <w:szCs w:val="20"/>
        </w:rPr>
      </w:pP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Fill in the three reader options in Part 1 before assigning, or tell students to write for someone on their current caseload.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70" w:line="276" w:lineRule="auto"/>
        <w:ind w:left="440" w:hanging="250"/>
        <w:rPr>
          <w:rFonts w:ascii="Open Sans Light" w:cs="Open Sans Light" w:eastAsia="Open Sans Light" w:hAnsi="Open Sans Light"/>
          <w:sz w:val="20"/>
          <w:szCs w:val="20"/>
        </w:rPr>
      </w:pP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If you add the read-aloud round, budget 10 extra minutes and ask partners to circle any word they had to stop and think about.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Open Sans Light" w:cs="Open Sans Light" w:eastAsia="Open Sans Light" w:hAnsi="Open Sans Light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Open Sans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290638" cy="295771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90638" cy="2957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40" w:hanging="25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Light-regular.ttf"/><Relationship Id="rId2" Type="http://schemas.openxmlformats.org/officeDocument/2006/relationships/font" Target="fonts/OpenSansLight-bold.ttf"/><Relationship Id="rId3" Type="http://schemas.openxmlformats.org/officeDocument/2006/relationships/font" Target="fonts/OpenSansLight-italic.ttf"/><Relationship Id="rId4" Type="http://schemas.openxmlformats.org/officeDocument/2006/relationships/font" Target="fonts/OpenSansLight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