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Know your source</w:t>
      </w:r>
      <w:r w:rsidDel="00000000" w:rsidR="00000000" w:rsidRPr="00000000">
        <w:rPr>
          <w:rtl w:val="0"/>
        </w:rPr>
      </w:r>
    </w:p>
    <w:p w:rsidR="00000000" w:rsidDel="00000000" w:rsidP="00000000" w:rsidRDefault="00000000" w:rsidRPr="00000000" w14:paraId="00000002">
      <w:pPr>
        <w:spacing w:after="22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color w:val="9a7b3f"/>
          <w:sz w:val="24"/>
          <w:szCs w:val="24"/>
          <w:rtl w:val="0"/>
        </w:rPr>
        <w:t xml:space="preserve">Evaluating clinical information across multiple source types</w:t>
      </w:r>
      <w:r w:rsidDel="00000000" w:rsidR="00000000" w:rsidRPr="00000000">
        <w:rPr>
          <w:rtl w:val="0"/>
        </w:rPr>
      </w:r>
    </w:p>
    <w:p w:rsidR="00000000" w:rsidDel="00000000" w:rsidP="00000000" w:rsidRDefault="00000000" w:rsidRPr="00000000" w14:paraId="00000003">
      <w:pPr>
        <w:spacing w:after="20" w:before="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CAA 3.1.1B · 3.5B · 3.1.6B</w:t>
      </w:r>
    </w:p>
    <w:p w:rsidR="00000000" w:rsidDel="00000000" w:rsidP="00000000" w:rsidRDefault="00000000" w:rsidRPr="00000000" w14:paraId="00000004">
      <w:pPr>
        <w:spacing w:after="100" w:before="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CFCC 2027 IV-F · IV-G</w:t>
      </w:r>
    </w:p>
    <w:p w:rsidR="00000000" w:rsidDel="00000000" w:rsidP="00000000" w:rsidRDefault="00000000" w:rsidRPr="00000000" w14:paraId="00000005">
      <w:pPr>
        <w:spacing w:after="140" w:before="0" w:line="276" w:lineRule="auto"/>
        <w:rPr>
          <w:rFonts w:ascii="Open Sans Light" w:cs="Open Sans Light" w:eastAsia="Open Sans Light" w:hAnsi="Open Sans Light"/>
          <w:i w:val="1"/>
          <w:iCs w:val="1"/>
          <w:sz w:val="20"/>
          <w:szCs w:val="20"/>
        </w:rPr>
      </w:pPr>
      <w:r w:rsidDel="00000000" w:rsidR="00000000" w:rsidRPr="00000000">
        <w:rPr>
          <w:rFonts w:ascii="Open Sans Light" w:cs="Open Sans Light" w:eastAsia="Open Sans Light" w:hAnsi="Open Sans Light"/>
          <w:i w:val="1"/>
          <w:iCs w:val="1"/>
          <w:sz w:val="20"/>
          <w:szCs w:val="20"/>
          <w:rtl w:val="0"/>
        </w:rPr>
        <w:t xml:space="preserve">Part 1 is scored on completion and specificity, not on whether the student characterized each source correctly.</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600"/>
        <w:gridCol w:w="2900"/>
        <w:gridCol w:w="2800"/>
        <w:gridCol w:w="2770"/>
        <w:tblGridChange w:id="0">
          <w:tblGrid>
            <w:gridCol w:w="1700"/>
            <w:gridCol w:w="600"/>
            <w:gridCol w:w="2900"/>
            <w:gridCol w:w="2800"/>
            <w:gridCol w:w="27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0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w:t>
            </w:r>
          </w:p>
        </w:tc>
        <w:tc>
          <w:tcPr>
            <w:shd w:fill="e8f1f2" w:val="clea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Pts</w:t>
            </w:r>
          </w:p>
        </w:tc>
        <w:tc>
          <w:tcPr>
            <w:shd w:fill="e8f1f2" w:val="clear"/>
            <w:tcMar>
              <w:top w:w="80.0" w:type="dxa"/>
              <w:left w:w="120.0" w:type="dxa"/>
              <w:bottom w:w="80.0" w:type="dxa"/>
              <w:right w:w="120.0" w:type="dxa"/>
            </w:tcMar>
          </w:tcPr>
          <w:p w:rsidR="00000000" w:rsidDel="00000000" w:rsidP="00000000" w:rsidRDefault="00000000" w:rsidRPr="00000000" w14:paraId="0000000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Full credit</w:t>
            </w:r>
          </w:p>
        </w:tc>
        <w:tc>
          <w:tcPr>
            <w:shd w:fill="e8f1f2" w:val="clear"/>
            <w:tcMar>
              <w:top w:w="80.0" w:type="dxa"/>
              <w:left w:w="120.0" w:type="dxa"/>
              <w:bottom w:w="80.0" w:type="dxa"/>
              <w:right w:w="120.0" w:type="dxa"/>
            </w:tcMar>
          </w:tcPr>
          <w:p w:rsidR="00000000" w:rsidDel="00000000" w:rsidP="00000000" w:rsidRDefault="00000000" w:rsidRPr="00000000" w14:paraId="0000000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Partial</w:t>
            </w:r>
          </w:p>
        </w:tc>
        <w:tc>
          <w:tcPr>
            <w:shd w:fill="e8f1f2" w:val="clea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Minimal</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0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 Comparison table</w:t>
            </w:r>
          </w:p>
        </w:tc>
        <w:tc>
          <w:tcPr>
            <w:tcMar>
              <w:top w:w="80.0" w:type="dxa"/>
              <w:left w:w="120.0" w:type="dxa"/>
              <w:bottom w:w="80.0" w:type="dxa"/>
              <w:right w:w="120.0" w:type="dxa"/>
            </w:tcMar>
          </w:tcPr>
          <w:p w:rsidR="00000000" w:rsidDel="00000000" w:rsidP="00000000" w:rsidRDefault="00000000" w:rsidRPr="00000000" w14:paraId="0000000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4</w:t>
            </w:r>
          </w:p>
        </w:tc>
        <w:tc>
          <w:tcPr>
            <w:tcMar>
              <w:top w:w="80.0" w:type="dxa"/>
              <w:left w:w="120.0" w:type="dxa"/>
              <w:bottom w:w="80.0" w:type="dxa"/>
              <w:right w:w="120.0" w:type="dxa"/>
            </w:tcMar>
          </w:tcPr>
          <w:p w:rsidR="00000000" w:rsidDel="00000000" w:rsidP="00000000" w:rsidRDefault="00000000" w:rsidRPr="00000000" w14:paraId="0000000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cells completed for all three sources. Responses describe specific, observable features rather than restating the prompt, and they differ across the three sources. Third source name and URL recorded. One point each for completeness, specificity, differentiation, and source documentation.</w:t>
            </w:r>
          </w:p>
        </w:tc>
        <w:tc>
          <w:tcPr>
            <w:tcMar>
              <w:top w:w="80.0" w:type="dxa"/>
              <w:left w:w="120.0" w:type="dxa"/>
              <w:bottom w:w="80.0" w:type="dxa"/>
              <w:right w:w="120.0" w:type="dxa"/>
            </w:tcMar>
          </w:tcPr>
          <w:p w:rsidR="00000000" w:rsidDel="00000000" w:rsidP="00000000" w:rsidRDefault="00000000" w:rsidRPr="00000000" w14:paraId="0000000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cells completed, with a mix of specific and general responses, or some copying across sources. Source name or URL partially recorded.</w:t>
            </w:r>
          </w:p>
        </w:tc>
        <w:tc>
          <w:tcPr>
            <w:tcMar>
              <w:top w:w="80.0" w:type="dxa"/>
              <w:left w:w="120.0" w:type="dxa"/>
              <w:bottom w:w="80.0" w:type="dxa"/>
              <w:right w:w="120.0" w:type="dxa"/>
            </w:tcMar>
          </w:tcPr>
          <w:p w:rsidR="00000000" w:rsidDel="00000000" w:rsidP="00000000" w:rsidRDefault="00000000" w:rsidRPr="00000000" w14:paraId="0000000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Four or more cells blank, responses vague or single words, or the three sources treated as interchangeable.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 Overall comparison</w:t>
            </w:r>
          </w:p>
        </w:tc>
        <w:tc>
          <w:tcPr>
            <w:tcMar>
              <w:top w:w="80.0" w:type="dxa"/>
              <w:left w:w="120.0" w:type="dxa"/>
              <w:bottom w:w="80.0" w:type="dxa"/>
              <w:right w:w="120.0" w:type="dxa"/>
            </w:tcMar>
          </w:tcPr>
          <w:p w:rsidR="00000000" w:rsidDel="00000000" w:rsidP="00000000" w:rsidRDefault="00000000" w:rsidRPr="00000000" w14:paraId="0000001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1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a most useful source and gives reasons drawn from the table. Addresses all four dimensions.</w:t>
            </w:r>
          </w:p>
        </w:tc>
        <w:tc>
          <w:tcP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a preferred source with some reasoning, referencing at least two dimensions.</w:t>
            </w:r>
          </w:p>
        </w:tc>
        <w:tc>
          <w:tcPr>
            <w:tcMar>
              <w:top w:w="80.0" w:type="dxa"/>
              <w:left w:w="120.0" w:type="dxa"/>
              <w:bottom w:w="80.0" w:type="dxa"/>
              <w:right w:w="120.0" w:type="dxa"/>
            </w:tcMar>
          </w:tcPr>
          <w:p w:rsidR="00000000" w:rsidDel="00000000" w:rsidP="00000000" w:rsidRDefault="00000000" w:rsidRPr="00000000" w14:paraId="0000001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States a preference with no reasoning, or reasoning not grounded in the table.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 AI reflection</w:t>
            </w:r>
          </w:p>
        </w:tc>
        <w:tc>
          <w:tcP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Says clearly whether the AI tool's sources could be verified, draws a specific implication for practice, and names a concrete next step before acting on the information.</w:t>
            </w:r>
          </w:p>
        </w:tc>
        <w:tc>
          <w:tcP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Acknowledges the transparency limitation and states a general implication for practice.</w:t>
            </w:r>
          </w:p>
        </w:tc>
        <w:tc>
          <w:tcPr>
            <w:tcMar>
              <w:top w:w="80.0" w:type="dxa"/>
              <w:left w:w="120.0" w:type="dxa"/>
              <w:bottom w:w="80.0" w:type="dxa"/>
              <w:right w:w="120.0" w:type="dxa"/>
            </w:tcMar>
          </w:tcPr>
          <w:p w:rsidR="00000000" w:rsidDel="00000000" w:rsidP="00000000" w:rsidRDefault="00000000" w:rsidRPr="00000000" w14:paraId="0000001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Mentions AI limitations vaguely, with no connection to practice or verification.</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4. Evidence quality</w:t>
            </w:r>
          </w:p>
        </w:tc>
        <w:tc>
          <w:tcPr>
            <w:tcMar>
              <w:top w:w="80.0" w:type="dxa"/>
              <w:left w:w="120.0" w:type="dxa"/>
              <w:bottom w:w="80.0" w:type="dxa"/>
              <w:right w:w="120.0" w:type="dxa"/>
            </w:tcMar>
          </w:tcPr>
          <w:p w:rsidR="00000000" w:rsidDel="00000000" w:rsidP="00000000" w:rsidRDefault="00000000" w:rsidRPr="00000000" w14:paraId="0000001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Describes specific differences in how evidence was presented, such as study types named, citations present or absent, or uncertainty acknowledged. Says which source made evaluation easiest and why.</w:t>
            </w:r>
          </w:p>
        </w:tc>
        <w:tc>
          <w:tcP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Notes some differences across sources. Identifies an easiest source, but the explanation stays general.</w:t>
            </w:r>
          </w:p>
        </w:tc>
        <w:tc>
          <w:tcP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Broad claims about evidence quality with no specific observations from the sources.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5. Credibility and limitations</w:t>
            </w:r>
          </w:p>
        </w:tc>
        <w:tc>
          <w:tcP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a distinct limitation for each of the three sources and explains how each would affect clinical use.</w:t>
            </w:r>
          </w:p>
        </w:tc>
        <w:tc>
          <w:tcP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limitations for at least two sources. Clinical implications present but underdeveloped for one.</w:t>
            </w:r>
          </w:p>
        </w:tc>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limitations vaguely, or for only one source. Little connection to clinical use.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Total</w:t>
            </w:r>
          </w:p>
        </w:tc>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8</w:t>
            </w:r>
          </w:p>
        </w:tc>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7">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8">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29">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Notes for the facilitator</w:t>
      </w:r>
    </w:p>
    <w:p w:rsidR="00000000" w:rsidDel="00000000" w:rsidP="00000000" w:rsidRDefault="00000000" w:rsidRPr="00000000" w14:paraId="0000002A">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Adjust grading/points to align with desired values for course.</w:t>
      </w:r>
    </w:p>
    <w:p w:rsidR="00000000" w:rsidDel="00000000" w:rsidP="00000000" w:rsidRDefault="00000000" w:rsidRPr="00000000" w14:paraId="0000002B">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If you want a shorter version, assign Steps 1 and 2 ahead of time and run Parts 1 and 2 in 45 minutes.</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sz w:val="22"/>
          <w:szCs w:val="22"/>
        </w:rPr>
      </w:pPr>
      <w:r w:rsidDel="00000000" w:rsidR="00000000" w:rsidRPr="00000000">
        <w:rPr>
          <w:rtl w:val="0"/>
        </w:rPr>
      </w:r>
    </w:p>
    <w:sectPr>
      <w:head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40" w:hanging="25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