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50" w:lineRule="auto"/>
        <w:rPr>
          <w:rFonts w:ascii="Open Sans" w:cs="Open Sans" w:eastAsia="Open Sans" w:hAnsi="Open Sans"/>
          <w:color w:val="1b3a57"/>
          <w:sz w:val="42"/>
          <w:szCs w:val="42"/>
        </w:rPr>
      </w:pPr>
      <w:bookmarkStart w:colFirst="0" w:colLast="0" w:name="_suwmknm89j7g" w:id="0"/>
      <w:bookmarkEnd w:id="0"/>
      <w:r w:rsidDel="00000000" w:rsidR="00000000" w:rsidRPr="00000000">
        <w:rPr>
          <w:rFonts w:ascii="Open Sans" w:cs="Open Sans" w:eastAsia="Open Sans" w:hAnsi="Open Sans"/>
          <w:color w:val="1b3a57"/>
          <w:sz w:val="42"/>
          <w:szCs w:val="42"/>
          <w:rtl w:val="0"/>
        </w:rPr>
        <w:t xml:space="preserve">From Review to Monday: Student Assignment</w:t>
      </w:r>
    </w:p>
    <w:p w:rsidR="00000000" w:rsidDel="00000000" w:rsidP="00000000" w:rsidRDefault="00000000" w:rsidRPr="00000000" w14:paraId="00000002">
      <w:pPr>
        <w:spacing w:after="220" w:before="0" w:line="276" w:lineRule="auto"/>
        <w:rPr>
          <w:rFonts w:ascii="Open Sans Light" w:cs="Open Sans Light" w:eastAsia="Open Sans Light" w:hAnsi="Open Sans Light"/>
          <w:i w:val="1"/>
          <w:iCs w:val="1"/>
          <w:color w:val="9a7b3f"/>
          <w:sz w:val="24"/>
          <w:szCs w:val="24"/>
        </w:rPr>
      </w:pPr>
      <w:r w:rsidDel="00000000" w:rsidR="00000000" w:rsidRPr="00000000">
        <w:rPr>
          <w:rFonts w:ascii="Open Sans Light" w:cs="Open Sans Light" w:eastAsia="Open Sans Light" w:hAnsi="Open Sans Light"/>
          <w:i w:val="1"/>
          <w:iCs w:val="1"/>
          <w:color w:val="9a7b3f"/>
          <w:sz w:val="24"/>
          <w:szCs w:val="24"/>
          <w:rtl w:val="0"/>
        </w:rPr>
        <w:t xml:space="preserve">Turning a research review into a specific clinical action</w:t>
      </w:r>
    </w:p>
    <w:p w:rsidR="00000000" w:rsidDel="00000000" w:rsidP="00000000" w:rsidRDefault="00000000" w:rsidRPr="00000000" w14:paraId="00000003">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Reading a review and changing what you do on Monday are two different things. </w:t>
      </w:r>
      <w:r w:rsidDel="00000000" w:rsidR="00000000" w:rsidRPr="00000000">
        <w:rPr>
          <w:rFonts w:ascii="Open Sans Light" w:cs="Open Sans Light" w:eastAsia="Open Sans Light" w:hAnsi="Open Sans Light"/>
          <w:sz w:val="22"/>
          <w:szCs w:val="22"/>
          <w:rtl w:val="0"/>
        </w:rPr>
        <w:t xml:space="preserve">This assignment walks you through the second one. You will find the review, apply it to a case, rewrite a goal so it is specific enough to act on, and then write down one thing you will do differently, in enough detail that a supervisor watching could tell whether you did it. That last part is about your behavior, not your client's.</w:t>
      </w:r>
    </w:p>
    <w:tbl>
      <w:tblPr>
        <w:tblStyle w:val="Table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8610"/>
        <w:tblGridChange w:id="0">
          <w:tblGrid>
            <w:gridCol w:w="2160"/>
            <w:gridCol w:w="861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Based on</w:t>
            </w:r>
          </w:p>
        </w:tc>
        <w:tc>
          <w:tcPr>
            <w:tcMar>
              <w:top w:w="80.0" w:type="dxa"/>
              <w:left w:w="120.0" w:type="dxa"/>
              <w:bottom w:w="80.0" w:type="dxa"/>
              <w:right w:w="120.0" w:type="dxa"/>
            </w:tcMar>
          </w:tcPr>
          <w:p w:rsidR="00000000" w:rsidDel="00000000" w:rsidP="00000000" w:rsidRDefault="00000000" w:rsidRPr="00000000" w14:paraId="00000005">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[Review Name]</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Topic</w:t>
            </w:r>
          </w:p>
        </w:tc>
        <w:tc>
          <w:tcPr>
            <w:tcMar>
              <w:top w:w="80.0" w:type="dxa"/>
              <w:left w:w="120.0" w:type="dxa"/>
              <w:bottom w:w="80.0" w:type="dxa"/>
              <w:right w:w="120.0" w:type="dxa"/>
            </w:tcMar>
          </w:tcPr>
          <w:p w:rsidR="00000000" w:rsidDel="00000000" w:rsidP="00000000" w:rsidRDefault="00000000" w:rsidRPr="00000000" w14:paraId="00000007">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[Describe topic of review here]</w:t>
            </w:r>
            <w:r w:rsidDel="00000000" w:rsidR="00000000" w:rsidRPr="00000000">
              <w:rPr>
                <w:rtl w:val="0"/>
              </w:rPr>
            </w:r>
          </w:p>
        </w:tc>
      </w:tr>
    </w:tbl>
    <w:p w:rsidR="00000000" w:rsidDel="00000000" w:rsidP="00000000" w:rsidRDefault="00000000" w:rsidRPr="00000000" w14:paraId="00000008">
      <w:pPr>
        <w:pStyle w:val="Heading1"/>
        <w:spacing w:after="140" w:before="300" w:lineRule="auto"/>
        <w:rPr/>
      </w:pPr>
      <w:bookmarkStart w:colFirst="0" w:colLast="0" w:name="_uizupj41prrx" w:id="1"/>
      <w:bookmarkEnd w:id="1"/>
      <w:r w:rsidDel="00000000" w:rsidR="00000000" w:rsidRPr="00000000">
        <w:rPr>
          <w:rtl w:val="0"/>
        </w:rPr>
        <w:t xml:space="preserve">Part 1. Find the review</w:t>
      </w:r>
    </w:p>
    <w:p w:rsidR="00000000" w:rsidDel="00000000" w:rsidP="00000000" w:rsidRDefault="00000000" w:rsidRPr="00000000" w14:paraId="00000009">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Search the title at www.theinformedslp.com/reviews. Two things are worth noticing while you are there. Reviews carry a date, so you can tell how current the evidence behind a recommendation is. Reviews also link to one another, so one review shows you where to go next for the same question. Both of those are habits worth keeping once you are out of school and reading on your own.</w:t>
      </w:r>
    </w:p>
    <w:tbl>
      <w:tblPr>
        <w:tblStyle w:val="Table2"/>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00"/>
        <w:gridCol w:w="6570"/>
        <w:tblGridChange w:id="0">
          <w:tblGrid>
            <w:gridCol w:w="4200"/>
            <w:gridCol w:w="6570"/>
          </w:tblGrid>
        </w:tblGridChange>
      </w:tblGrid>
      <w:tr>
        <w:trPr>
          <w:cantSplit w:val="0"/>
          <w:trHeight w:val="5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0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Date published or last updated</w:t>
            </w:r>
          </w:p>
        </w:tc>
        <w:tc>
          <w:tcPr>
            <w:tcMar>
              <w:top w:w="80.0" w:type="dxa"/>
              <w:left w:w="120.0" w:type="dxa"/>
              <w:bottom w:w="80.0" w:type="dxa"/>
              <w:right w:w="120.0" w:type="dxa"/>
            </w:tcMar>
          </w:tcPr>
          <w:p w:rsidR="00000000" w:rsidDel="00000000" w:rsidP="00000000" w:rsidRDefault="00000000" w:rsidRPr="00000000" w14:paraId="0000000B">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5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0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Title of one other review linked inside this one</w:t>
            </w:r>
          </w:p>
        </w:tc>
        <w:tc>
          <w:tcPr>
            <w:tcMar>
              <w:top w:w="80.0" w:type="dxa"/>
              <w:left w:w="120.0" w:type="dxa"/>
              <w:bottom w:w="80.0" w:type="dxa"/>
              <w:right w:w="120.0" w:type="dxa"/>
            </w:tcMar>
          </w:tcPr>
          <w:p w:rsidR="00000000" w:rsidDel="00000000" w:rsidP="00000000" w:rsidRDefault="00000000" w:rsidRPr="00000000" w14:paraId="0000000D">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8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0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Why does the date matter for this topic?</w:t>
            </w:r>
          </w:p>
        </w:tc>
        <w:tc>
          <w:tcPr>
            <w:tcMar>
              <w:top w:w="80.0" w:type="dxa"/>
              <w:left w:w="120.0" w:type="dxa"/>
              <w:bottom w:w="80.0" w:type="dxa"/>
              <w:right w:w="120.0" w:type="dxa"/>
            </w:tcMar>
          </w:tcPr>
          <w:p w:rsidR="00000000" w:rsidDel="00000000" w:rsidP="00000000" w:rsidRDefault="00000000" w:rsidRPr="00000000" w14:paraId="0000000F">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10">
      <w:pPr>
        <w:pStyle w:val="Heading1"/>
        <w:spacing w:after="140" w:before="300" w:lineRule="auto"/>
        <w:rPr/>
      </w:pPr>
      <w:bookmarkStart w:colFirst="0" w:colLast="0" w:name="_2uwepwvo6kxy" w:id="2"/>
      <w:bookmarkEnd w:id="2"/>
      <w:r w:rsidDel="00000000" w:rsidR="00000000" w:rsidRPr="00000000">
        <w:rPr>
          <w:rtl w:val="0"/>
        </w:rPr>
        <w:t xml:space="preserve">Part 2. The case</w:t>
      </w:r>
    </w:p>
    <w:p w:rsidR="00000000" w:rsidDel="00000000" w:rsidP="00000000" w:rsidRDefault="00000000" w:rsidRPr="00000000" w14:paraId="00000011">
      <w:pPr>
        <w:spacing w:after="140" w:line="276" w:lineRule="auto"/>
        <w:rPr>
          <w:rFonts w:ascii="Open Sans Light" w:cs="Open Sans Light" w:eastAsia="Open Sans Light" w:hAnsi="Open Sans Light"/>
          <w:i w:val="1"/>
          <w:iCs w:val="1"/>
          <w:sz w:val="20"/>
          <w:szCs w:val="20"/>
          <w:shd w:fill="d9d2e9" w:val="clear"/>
        </w:rPr>
      </w:pPr>
      <w:r w:rsidDel="00000000" w:rsidR="00000000" w:rsidRPr="00000000">
        <w:rPr>
          <w:rFonts w:ascii="Open Sans Light" w:cs="Open Sans Light" w:eastAsia="Open Sans Light" w:hAnsi="Open Sans Light"/>
          <w:i w:val="1"/>
          <w:iCs w:val="1"/>
          <w:sz w:val="20"/>
          <w:szCs w:val="20"/>
          <w:shd w:fill="d9d2e9" w:val="clear"/>
          <w:rtl w:val="0"/>
        </w:rPr>
        <w:t xml:space="preserve">[Insert a short case, roughly 150 to 250 words. A good case for this assignment has four things: a client who roughly matches the population in the review, a goal already written for them that is vaguer than it should be, enough detail to judge most of the skills or behaviors in Part 2a, and at least one detail the research cannot concretely answer.]</w:t>
      </w:r>
    </w:p>
    <w:p w:rsidR="00000000" w:rsidDel="00000000" w:rsidP="00000000" w:rsidRDefault="00000000" w:rsidRPr="00000000" w14:paraId="00000012">
      <w:pPr>
        <w:spacing w:after="100" w:before="200"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2a.</w:t>
      </w:r>
      <w:r w:rsidDel="00000000" w:rsidR="00000000" w:rsidRPr="00000000">
        <w:rPr>
          <w:rFonts w:ascii="Open Sans Light" w:cs="Open Sans Light" w:eastAsia="Open Sans Light" w:hAnsi="Open Sans Light"/>
          <w:sz w:val="22"/>
          <w:szCs w:val="22"/>
          <w:rtl w:val="0"/>
        </w:rPr>
        <w:t xml:space="preserve"> The review looks at several skills or behaviors one at a time. For each one, decide whether the case shows it, does not show it, or does not give you enough information to tell. It's fine to mark "cannot tell," and it will be helpful to say what information you'd need. If you notice another skill or behavior in the case that seems important, add it in a blank row.</w:t>
      </w:r>
    </w:p>
    <w:tbl>
      <w:tblPr>
        <w:tblStyle w:val="Table3"/>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00"/>
        <w:gridCol w:w="2800"/>
        <w:gridCol w:w="4370"/>
        <w:tblGridChange w:id="0">
          <w:tblGrid>
            <w:gridCol w:w="3600"/>
            <w:gridCol w:w="2800"/>
            <w:gridCol w:w="437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1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Skill or behavior (e.g., </w:t>
            </w:r>
            <w:r w:rsidDel="00000000" w:rsidR="00000000" w:rsidRPr="00000000">
              <w:rPr>
                <w:rFonts w:ascii="Open Sans Light" w:cs="Open Sans Light" w:eastAsia="Open Sans Light" w:hAnsi="Open Sans Light"/>
                <w:i w:val="1"/>
                <w:iCs w:val="1"/>
                <w:sz w:val="22"/>
                <w:szCs w:val="22"/>
                <w:rtl w:val="0"/>
              </w:rPr>
              <w:t xml:space="preserve">[insert an example from the review]</w:t>
            </w:r>
            <w:r w:rsidDel="00000000" w:rsidR="00000000" w:rsidRPr="00000000">
              <w:rPr>
                <w:rFonts w:ascii="Open Sans Light" w:cs="Open Sans Light" w:eastAsia="Open Sans Light" w:hAnsi="Open Sans Light"/>
                <w:sz w:val="22"/>
                <w:szCs w:val="22"/>
                <w:rtl w:val="0"/>
              </w:rPr>
              <w:t xml:space="preserve">)</w:t>
            </w:r>
          </w:p>
        </w:tc>
        <w:tc>
          <w:tcPr>
            <w:shd w:fill="e8f1f2" w:val="clear"/>
            <w:tcMar>
              <w:top w:w="80.0" w:type="dxa"/>
              <w:left w:w="120.0" w:type="dxa"/>
              <w:bottom w:w="80.0" w:type="dxa"/>
              <w:right w:w="120.0" w:type="dxa"/>
            </w:tcMar>
          </w:tcPr>
          <w:p w:rsidR="00000000" w:rsidDel="00000000" w:rsidP="00000000" w:rsidRDefault="00000000" w:rsidRPr="00000000" w14:paraId="0000001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Present, not present, or cannot tell</w:t>
            </w:r>
          </w:p>
        </w:tc>
        <w:tc>
          <w:tcPr>
            <w:shd w:fill="e8f1f2" w:val="clear"/>
            <w:tcMar>
              <w:top w:w="80.0" w:type="dxa"/>
              <w:left w:w="120.0" w:type="dxa"/>
              <w:bottom w:w="80.0" w:type="dxa"/>
              <w:right w:w="120.0" w:type="dxa"/>
            </w:tcMar>
          </w:tcPr>
          <w:p w:rsidR="00000000" w:rsidDel="00000000" w:rsidP="00000000" w:rsidRDefault="00000000" w:rsidRPr="00000000" w14:paraId="0000001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Evidence from the case (or what you'd need to know)</w:t>
            </w:r>
          </w:p>
        </w:tc>
      </w:tr>
      <w:tr>
        <w:trPr>
          <w:cantSplit w:val="0"/>
          <w:trHeight w:val="600" w:hRule="atLeast"/>
          <w:tblHeader w:val="0"/>
        </w:trPr>
        <w:tc>
          <w:tcPr>
            <w:tcMar>
              <w:top w:w="80.0" w:type="dxa"/>
              <w:left w:w="120.0" w:type="dxa"/>
              <w:bottom w:w="80.0" w:type="dxa"/>
              <w:right w:w="120.0" w:type="dxa"/>
            </w:tcMar>
          </w:tcPr>
          <w:p w:rsidR="00000000" w:rsidDel="00000000" w:rsidP="00000000" w:rsidRDefault="00000000" w:rsidRPr="00000000" w14:paraId="00000016">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[Insert skill or behavior from the summary table]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7">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8">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tcMar>
              <w:top w:w="80.0" w:type="dxa"/>
              <w:left w:w="120.0" w:type="dxa"/>
              <w:bottom w:w="80.0" w:type="dxa"/>
              <w:right w:w="120.0" w:type="dxa"/>
            </w:tcMar>
          </w:tcPr>
          <w:p w:rsidR="00000000" w:rsidDel="00000000" w:rsidP="00000000" w:rsidRDefault="00000000" w:rsidRPr="00000000" w14:paraId="00000019">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[Insert skill or behavior from the summary table]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A">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B">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tcMar>
              <w:top w:w="80.0" w:type="dxa"/>
              <w:left w:w="120.0" w:type="dxa"/>
              <w:bottom w:w="80.0" w:type="dxa"/>
              <w:right w:w="120.0" w:type="dxa"/>
            </w:tcMar>
          </w:tcPr>
          <w:p w:rsidR="00000000" w:rsidDel="00000000" w:rsidP="00000000" w:rsidRDefault="00000000" w:rsidRPr="00000000" w14:paraId="0000001C">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[Insert skill or behavior from the summary table]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D">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1E">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tcMar>
              <w:top w:w="80.0" w:type="dxa"/>
              <w:left w:w="120.0" w:type="dxa"/>
              <w:bottom w:w="80.0" w:type="dxa"/>
              <w:right w:w="120.0" w:type="dxa"/>
            </w:tcMar>
          </w:tcPr>
          <w:p w:rsidR="00000000" w:rsidDel="00000000" w:rsidP="00000000" w:rsidRDefault="00000000" w:rsidRPr="00000000" w14:paraId="0000001F">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0">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1">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tcMar>
              <w:top w:w="80.0" w:type="dxa"/>
              <w:left w:w="120.0" w:type="dxa"/>
              <w:bottom w:w="80.0" w:type="dxa"/>
              <w:right w:w="120.0" w:type="dxa"/>
            </w:tcMar>
          </w:tcPr>
          <w:p w:rsidR="00000000" w:rsidDel="00000000" w:rsidP="00000000" w:rsidRDefault="00000000" w:rsidRPr="00000000" w14:paraId="00000022">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3">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4">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25">
      <w:pPr>
        <w:spacing w:after="100" w:before="200"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2b.</w:t>
      </w:r>
      <w:r w:rsidDel="00000000" w:rsidR="00000000" w:rsidRPr="00000000">
        <w:rPr>
          <w:rFonts w:ascii="Open Sans Light" w:cs="Open Sans Light" w:eastAsia="Open Sans Light" w:hAnsi="Open Sans Light"/>
          <w:sz w:val="22"/>
          <w:szCs w:val="22"/>
          <w:rtl w:val="0"/>
        </w:rPr>
        <w:t xml:space="preserve"> Answer both.</w:t>
      </w:r>
    </w:p>
    <w:p w:rsidR="00000000" w:rsidDel="00000000" w:rsidP="00000000" w:rsidRDefault="00000000" w:rsidRPr="00000000" w14:paraId="00000026">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Does what you see in the case fall outside what you would expect for this client? How do you know?</w:t>
      </w:r>
    </w:p>
    <w:tbl>
      <w:tblPr>
        <w:tblStyle w:val="Table4"/>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900" w:hRule="atLeast"/>
          <w:tblHeader w:val="0"/>
        </w:trPr>
        <w:tc>
          <w:tcPr>
            <w:tcMar>
              <w:top w:w="80.0" w:type="dxa"/>
              <w:left w:w="120.0" w:type="dxa"/>
              <w:bottom w:w="80.0" w:type="dxa"/>
              <w:right w:w="120.0" w:type="dxa"/>
            </w:tcMar>
          </w:tcPr>
          <w:p w:rsidR="00000000" w:rsidDel="00000000" w:rsidP="00000000" w:rsidRDefault="00000000" w:rsidRPr="00000000" w14:paraId="00000027">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28">
      <w:pPr>
        <w:spacing w:after="60" w:before="200" w:line="276"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[Insert topic-specific question about what a plan for this client would need to cover.]</w:t>
      </w:r>
      <w:r w:rsidDel="00000000" w:rsidR="00000000" w:rsidRPr="00000000">
        <w:rPr>
          <w:rtl w:val="0"/>
        </w:rPr>
      </w:r>
    </w:p>
    <w:tbl>
      <w:tblPr>
        <w:tblStyle w:val="Table5"/>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900" w:hRule="atLeast"/>
          <w:tblHeader w:val="0"/>
        </w:trPr>
        <w:tc>
          <w:tcPr>
            <w:tcMar>
              <w:top w:w="80.0" w:type="dxa"/>
              <w:left w:w="120.0" w:type="dxa"/>
              <w:bottom w:w="80.0" w:type="dxa"/>
              <w:right w:w="120.0" w:type="dxa"/>
            </w:tcMar>
          </w:tcPr>
          <w:p w:rsidR="00000000" w:rsidDel="00000000" w:rsidP="00000000" w:rsidRDefault="00000000" w:rsidRPr="00000000" w14:paraId="00000029">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2A">
      <w:pPr>
        <w:pStyle w:val="Heading1"/>
        <w:spacing w:after="140" w:before="300" w:lineRule="auto"/>
        <w:rPr/>
      </w:pPr>
      <w:bookmarkStart w:colFirst="0" w:colLast="0" w:name="_dh2tubd85ygw" w:id="3"/>
      <w:bookmarkEnd w:id="3"/>
      <w:r w:rsidDel="00000000" w:rsidR="00000000" w:rsidRPr="00000000">
        <w:rPr>
          <w:rtl w:val="0"/>
        </w:rPr>
        <w:t xml:space="preserve">Part 3. Rewrite the goal</w:t>
      </w:r>
    </w:p>
    <w:p w:rsidR="00000000" w:rsidDel="00000000" w:rsidP="00000000" w:rsidRDefault="00000000" w:rsidRPr="00000000" w14:paraId="0000002B">
      <w:pPr>
        <w:spacing w:after="60"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The goal as it stands:</w:t>
      </w:r>
    </w:p>
    <w:tbl>
      <w:tblPr>
        <w:tblStyle w:val="Table6"/>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2C">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[Insert the goal from the case, written vaguely on purpose]</w:t>
            </w:r>
            <w:r w:rsidDel="00000000" w:rsidR="00000000" w:rsidRPr="00000000">
              <w:rPr>
                <w:rtl w:val="0"/>
              </w:rPr>
            </w:r>
          </w:p>
        </w:tc>
      </w:tr>
    </w:tbl>
    <w:p w:rsidR="00000000" w:rsidDel="00000000" w:rsidP="00000000" w:rsidRDefault="00000000" w:rsidRPr="00000000" w14:paraId="0000002D">
      <w:pPr>
        <w:spacing w:after="100" w:before="200"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3a.</w:t>
      </w:r>
      <w:r w:rsidDel="00000000" w:rsidR="00000000" w:rsidRPr="00000000">
        <w:rPr>
          <w:rFonts w:ascii="Open Sans Light" w:cs="Open Sans Light" w:eastAsia="Open Sans Light" w:hAnsi="Open Sans Light"/>
          <w:sz w:val="22"/>
          <w:szCs w:val="22"/>
          <w:rtl w:val="0"/>
        </w:rPr>
        <w:t xml:space="preserve"> Rewrite it so it names the specific target and stays measurable.</w:t>
      </w:r>
    </w:p>
    <w:tbl>
      <w:tblPr>
        <w:tblStyle w:val="Table7"/>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900" w:hRule="atLeast"/>
          <w:tblHeader w:val="0"/>
        </w:trPr>
        <w:tc>
          <w:tcPr>
            <w:tcMar>
              <w:top w:w="80.0" w:type="dxa"/>
              <w:left w:w="120.0" w:type="dxa"/>
              <w:bottom w:w="80.0" w:type="dxa"/>
              <w:right w:w="120.0" w:type="dxa"/>
            </w:tcMar>
          </w:tcPr>
          <w:p w:rsidR="00000000" w:rsidDel="00000000" w:rsidP="00000000" w:rsidRDefault="00000000" w:rsidRPr="00000000" w14:paraId="0000002E">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2F">
      <w:pPr>
        <w:spacing w:after="100" w:before="200"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3b.</w:t>
      </w:r>
      <w:r w:rsidDel="00000000" w:rsidR="00000000" w:rsidRPr="00000000">
        <w:rPr>
          <w:rFonts w:ascii="Open Sans Light" w:cs="Open Sans Light" w:eastAsia="Open Sans Light" w:hAnsi="Open Sans Light"/>
          <w:sz w:val="22"/>
          <w:szCs w:val="22"/>
          <w:rtl w:val="0"/>
        </w:rPr>
        <w:t xml:space="preserve"> Why this target, for this client? Draw on the case or the review.</w:t>
      </w:r>
    </w:p>
    <w:tbl>
      <w:tblPr>
        <w:tblStyle w:val="Table8"/>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900" w:hRule="atLeast"/>
          <w:tblHeader w:val="0"/>
        </w:trPr>
        <w:tc>
          <w:tcPr>
            <w:tcMar>
              <w:top w:w="80.0" w:type="dxa"/>
              <w:left w:w="120.0" w:type="dxa"/>
              <w:bottom w:w="80.0" w:type="dxa"/>
              <w:right w:w="120.0" w:type="dxa"/>
            </w:tcMar>
          </w:tcPr>
          <w:p w:rsidR="00000000" w:rsidDel="00000000" w:rsidP="00000000" w:rsidRDefault="00000000" w:rsidRPr="00000000" w14:paraId="00000030">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31">
      <w:pPr>
        <w:pStyle w:val="Heading1"/>
        <w:spacing w:after="140" w:before="300" w:lineRule="auto"/>
        <w:rPr/>
      </w:pPr>
      <w:bookmarkStart w:colFirst="0" w:colLast="0" w:name="_n2xwvbgfbrqv" w:id="4"/>
      <w:bookmarkEnd w:id="4"/>
      <w:r w:rsidDel="00000000" w:rsidR="00000000" w:rsidRPr="00000000">
        <w:rPr>
          <w:rtl w:val="0"/>
        </w:rPr>
        <w:t xml:space="preserve">Part 4. Your Monday plan</w:t>
      </w:r>
    </w:p>
    <w:p w:rsidR="00000000" w:rsidDel="00000000" w:rsidP="00000000" w:rsidRDefault="00000000" w:rsidRPr="00000000" w14:paraId="00000032">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This part is about your behavior, not your client's. Describe one thing you will do differently, specifically enough that a supervisor watching could tell whether you did it.</w:t>
      </w:r>
    </w:p>
    <w:tbl>
      <w:tblPr>
        <w:tblStyle w:val="Table9"/>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3200"/>
        <w:gridCol w:w="5870"/>
        <w:tblGridChange w:id="0">
          <w:tblGrid>
            <w:gridCol w:w="1700"/>
            <w:gridCol w:w="3200"/>
            <w:gridCol w:w="5870"/>
          </w:tblGrid>
        </w:tblGridChange>
      </w:tblGrid>
      <w:tr>
        <w:trPr>
          <w:cantSplit w:val="0"/>
          <w:trHeight w:val="55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3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Action</w:t>
            </w:r>
          </w:p>
        </w:tc>
        <w:tc>
          <w:tcPr>
            <w:tcMar>
              <w:top w:w="80.0" w:type="dxa"/>
              <w:left w:w="120.0" w:type="dxa"/>
              <w:bottom w:w="80.0" w:type="dxa"/>
              <w:right w:w="120.0" w:type="dxa"/>
            </w:tcMar>
          </w:tcPr>
          <w:p w:rsidR="00000000" w:rsidDel="00000000" w:rsidP="00000000" w:rsidRDefault="00000000" w:rsidRPr="00000000" w14:paraId="0000003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What you will do</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5">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55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3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Actor</w:t>
            </w:r>
          </w:p>
        </w:tc>
        <w:tc>
          <w:tcPr>
            <w:tcMar>
              <w:top w:w="80.0" w:type="dxa"/>
              <w:left w:w="120.0" w:type="dxa"/>
              <w:bottom w:w="80.0" w:type="dxa"/>
              <w:right w:w="120.0" w:type="dxa"/>
            </w:tcMar>
          </w:tcPr>
          <w:p w:rsidR="00000000" w:rsidDel="00000000" w:rsidP="00000000" w:rsidRDefault="00000000" w:rsidRPr="00000000" w14:paraId="0000003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Who does it</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8">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55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3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Context</w:t>
            </w:r>
          </w:p>
        </w:tc>
        <w:tc>
          <w:tcPr>
            <w:tcMar>
              <w:top w:w="80.0" w:type="dxa"/>
              <w:left w:w="120.0" w:type="dxa"/>
              <w:bottom w:w="80.0" w:type="dxa"/>
              <w:right w:w="120.0" w:type="dxa"/>
            </w:tcMar>
          </w:tcPr>
          <w:p w:rsidR="00000000" w:rsidDel="00000000" w:rsidP="00000000" w:rsidRDefault="00000000" w:rsidRPr="00000000" w14:paraId="0000003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Where, and when in the session</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B">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55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3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Target</w:t>
            </w:r>
          </w:p>
        </w:tc>
        <w:tc>
          <w:tcPr>
            <w:tcMar>
              <w:top w:w="80.0" w:type="dxa"/>
              <w:left w:w="120.0" w:type="dxa"/>
              <w:bottom w:w="80.0" w:type="dxa"/>
              <w:right w:w="120.0" w:type="dxa"/>
            </w:tcMar>
          </w:tcPr>
          <w:p w:rsidR="00000000" w:rsidDel="00000000" w:rsidP="00000000" w:rsidRDefault="00000000" w:rsidRPr="00000000" w14:paraId="0000003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Who it is for</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E">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55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3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Time</w:t>
            </w:r>
          </w:p>
        </w:tc>
        <w:tc>
          <w:tcPr>
            <w:tcMar>
              <w:top w:w="80.0" w:type="dxa"/>
              <w:left w:w="120.0" w:type="dxa"/>
              <w:bottom w:w="80.0" w:type="dxa"/>
              <w:right w:w="120.0" w:type="dxa"/>
            </w:tcMar>
          </w:tcPr>
          <w:p w:rsidR="00000000" w:rsidDel="00000000" w:rsidP="00000000" w:rsidRDefault="00000000" w:rsidRPr="00000000" w14:paraId="0000004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When, and how often</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41">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42">
      <w:pPr>
        <w:spacing w:after="60" w:before="200"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Think of one thing that could get in the way of doing your plan on Monday. It might be running short on time, a client having a hard day, or slipping back into what you usually do without thinking about it. Then write what you will do if that happens, so the plan still has a way forward.</w:t>
      </w:r>
    </w:p>
    <w:p w:rsidR="00000000" w:rsidDel="00000000" w:rsidP="00000000" w:rsidRDefault="00000000" w:rsidRPr="00000000" w14:paraId="00000043">
      <w:pPr>
        <w:spacing w:after="60" w:before="200"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For example: If the session starts late, then I will still use the new prompt during the first activity.</w:t>
      </w:r>
    </w:p>
    <w:p w:rsidR="00000000" w:rsidDel="00000000" w:rsidP="00000000" w:rsidRDefault="00000000" w:rsidRPr="00000000" w14:paraId="00000044">
      <w:pPr>
        <w:spacing w:after="100"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[If ______________________________, then I will ______________________________.]</w:t>
      </w:r>
      <w:r w:rsidDel="00000000" w:rsidR="00000000" w:rsidRPr="00000000">
        <w:rPr>
          <w:rtl w:val="0"/>
        </w:rPr>
      </w:r>
    </w:p>
    <w:tbl>
      <w:tblPr>
        <w:tblStyle w:val="Table10"/>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260" w:hRule="atLeast"/>
          <w:tblHeader w:val="0"/>
        </w:trPr>
        <w:tc>
          <w:tcPr>
            <w:tcMar>
              <w:top w:w="80.0" w:type="dxa"/>
              <w:left w:w="120.0" w:type="dxa"/>
              <w:bottom w:w="80.0" w:type="dxa"/>
              <w:right w:w="120.0" w:type="dxa"/>
            </w:tcMar>
          </w:tcPr>
          <w:p w:rsidR="00000000" w:rsidDel="00000000" w:rsidP="00000000" w:rsidRDefault="00000000" w:rsidRPr="00000000" w14:paraId="00000045">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46">
      <w:pPr>
        <w:spacing w:after="60" w:before="200"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How will you know it worked? Name what you would see.</w:t>
      </w:r>
    </w:p>
    <w:tbl>
      <w:tblPr>
        <w:tblStyle w:val="Table1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275" w:hRule="atLeast"/>
          <w:tblHeader w:val="0"/>
        </w:trPr>
        <w:tc>
          <w:tcPr>
            <w:tcMar>
              <w:top w:w="80.0" w:type="dxa"/>
              <w:left w:w="120.0" w:type="dxa"/>
              <w:bottom w:w="80.0" w:type="dxa"/>
              <w:right w:w="120.0" w:type="dxa"/>
            </w:tcMar>
          </w:tcPr>
          <w:p w:rsidR="00000000" w:rsidDel="00000000" w:rsidP="00000000" w:rsidRDefault="00000000" w:rsidRPr="00000000" w14:paraId="00000047">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48">
      <w:pPr>
        <w:spacing w:after="60" w:before="200"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When will you check, and what will you do with what you find?</w:t>
      </w:r>
    </w:p>
    <w:tbl>
      <w:tblPr>
        <w:tblStyle w:val="Table12"/>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425" w:hRule="atLeast"/>
          <w:tblHeader w:val="0"/>
        </w:trPr>
        <w:tc>
          <w:tcPr>
            <w:tcMar>
              <w:top w:w="80.0" w:type="dxa"/>
              <w:left w:w="120.0" w:type="dxa"/>
              <w:bottom w:w="80.0" w:type="dxa"/>
              <w:right w:w="120.0" w:type="dxa"/>
            </w:tcMar>
          </w:tcPr>
          <w:p w:rsidR="00000000" w:rsidDel="00000000" w:rsidP="00000000" w:rsidRDefault="00000000" w:rsidRPr="00000000" w14:paraId="00000049">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4A">
      <w:pPr>
        <w:widowControl w:val="0"/>
        <w:spacing w:line="276"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sz w:val="22"/>
          <w:szCs w:val="22"/>
        </w:rPr>
      </w:pPr>
      <w:r w:rsidDel="00000000" w:rsidR="00000000" w:rsidRPr="00000000">
        <w:rPr>
          <w:rtl w:val="0"/>
        </w:rPr>
      </w:r>
    </w:p>
    <w:sectPr>
      <w:headerReference r:id="rId6"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Open Sa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jc w:val="right"/>
      <w:rPr/>
    </w:pPr>
    <w:r w:rsidDel="00000000" w:rsidR="00000000" w:rsidRPr="00000000">
      <w:rPr/>
      <w:drawing>
        <wp:inline distB="114300" distT="114300" distL="114300" distR="114300">
          <wp:extent cx="1290638" cy="29577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OpenSansLight-regular.ttf"/><Relationship Id="rId2" Type="http://schemas.openxmlformats.org/officeDocument/2006/relationships/font" Target="fonts/OpenSansLight-bold.ttf"/><Relationship Id="rId3" Type="http://schemas.openxmlformats.org/officeDocument/2006/relationships/font" Target="fonts/OpenSansLight-italic.ttf"/><Relationship Id="rId4" Type="http://schemas.openxmlformats.org/officeDocument/2006/relationships/font" Target="fonts/OpenSansLigh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