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50" w:lineRule="auto"/>
        <w:rPr>
          <w:rFonts w:ascii="Open Sans Light" w:cs="Open Sans Light" w:eastAsia="Open Sans Light" w:hAnsi="Open Sans Light"/>
          <w:sz w:val="22"/>
          <w:szCs w:val="22"/>
          <w:shd w:fill="d9d2e9" w:val="clear"/>
        </w:rPr>
      </w:pPr>
      <w:r w:rsidDel="00000000" w:rsidR="00000000" w:rsidRPr="00000000">
        <w:rPr>
          <w:rFonts w:ascii="Open Sans" w:cs="Open Sans" w:eastAsia="Open Sans" w:hAnsi="Open Sans"/>
          <w:color w:val="1b3a57"/>
          <w:sz w:val="42"/>
          <w:szCs w:val="42"/>
          <w:rtl w:val="0"/>
        </w:rPr>
        <w:t xml:space="preserve">From Review to Monday: Grading Rubric</w:t>
      </w:r>
      <w:r w:rsidDel="00000000" w:rsidR="00000000" w:rsidRPr="00000000">
        <w:rPr>
          <w:rtl w:val="0"/>
        </w:rPr>
      </w:r>
    </w:p>
    <w:p w:rsidR="00000000" w:rsidDel="00000000" w:rsidP="00000000" w:rsidRDefault="00000000" w:rsidRPr="00000000" w14:paraId="00000002">
      <w:pPr>
        <w:spacing w:after="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CAA 3.1.1B · 3.4B · [3.1.2B] · [3.1.5B]</w:t>
      </w:r>
    </w:p>
    <w:p w:rsidR="00000000" w:rsidDel="00000000" w:rsidP="00000000" w:rsidRDefault="00000000" w:rsidRPr="00000000" w14:paraId="00000003">
      <w:pPr>
        <w:spacing w:after="140" w:lineRule="auto"/>
        <w:rPr>
          <w:rFonts w:ascii="Open Sans Light" w:cs="Open Sans Light" w:eastAsia="Open Sans Light" w:hAnsi="Open Sans Light"/>
          <w:color w:val="666666"/>
          <w:sz w:val="22"/>
          <w:szCs w:val="22"/>
        </w:rPr>
      </w:pPr>
      <w:r w:rsidDel="00000000" w:rsidR="00000000" w:rsidRPr="00000000">
        <w:rPr>
          <w:rFonts w:ascii="Open Sans Light" w:cs="Open Sans Light" w:eastAsia="Open Sans Light" w:hAnsi="Open Sans Light"/>
          <w:color w:val="666666"/>
          <w:sz w:val="22"/>
          <w:szCs w:val="22"/>
          <w:rtl w:val="0"/>
        </w:rPr>
        <w:t xml:space="preserve">CFCC 2027 IV-D · IV-F · V-B 2a · [IV-C]</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600"/>
        <w:gridCol w:w="2900"/>
        <w:gridCol w:w="2800"/>
        <w:gridCol w:w="2770"/>
        <w:tblGridChange w:id="0">
          <w:tblGrid>
            <w:gridCol w:w="1700"/>
            <w:gridCol w:w="600"/>
            <w:gridCol w:w="2900"/>
            <w:gridCol w:w="2800"/>
            <w:gridCol w:w="27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0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0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0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 Find the review</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0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three fields completed. Date and linked review are correct, and the answer on the date says something specific to this topic.</w:t>
            </w:r>
          </w:p>
        </w:tc>
        <w:tc>
          <w:tcPr>
            <w:tcMar>
              <w:top w:w="80.0" w:type="dxa"/>
              <w:left w:w="120.0" w:type="dxa"/>
              <w:bottom w:w="80.0" w:type="dxa"/>
              <w:right w:w="120.0" w:type="dxa"/>
            </w:tcMar>
          </w:tcPr>
          <w:p w:rsidR="00000000" w:rsidDel="00000000" w:rsidP="00000000" w:rsidRDefault="00000000" w:rsidRPr="00000000" w14:paraId="0000000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Two fields completed, or the answer on the date would fit any topic.</w:t>
            </w:r>
          </w:p>
        </w:tc>
        <w:tc>
          <w:tcP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Fewer than two fields completed.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2a. Skill or behavior  table</w:t>
            </w:r>
          </w:p>
        </w:tc>
        <w:tc>
          <w:tcP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what the case shows, citing specific evidence from the case. Marks anything the case cannot show as "cannot tell."</w:t>
            </w:r>
          </w:p>
        </w:tc>
        <w:tc>
          <w:tcP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what the case shows, with general evidence, or skills or behaviors filled in without support.</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Evidence column left blank, or the skills or behaviors lumped together rather than judged one at a time.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2b. Expectation and scope</w:t>
            </w:r>
          </w:p>
        </w:tc>
        <w:tc>
          <w:tcP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Says whether what the case shows falls outside the expected range for this client, and what a plan would need to cover.</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Answers one of the two questions well.</w:t>
            </w:r>
          </w:p>
        </w:tc>
        <w:tc>
          <w:tcP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Neither question answered, or the answers do not match the case.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3a. Rewritten goal</w:t>
            </w:r>
          </w:p>
        </w:tc>
        <w:tc>
          <w:tcPr>
            <w:tcMar>
              <w:top w:w="80.0" w:type="dxa"/>
              <w:left w:w="120.0" w:type="dxa"/>
              <w:bottom w:w="80.0" w:type="dxa"/>
              <w:right w:w="120.0" w:type="dxa"/>
            </w:tcMar>
          </w:tcPr>
          <w:p w:rsidR="00000000" w:rsidDel="00000000" w:rsidP="00000000" w:rsidRDefault="00000000" w:rsidRPr="00000000" w14:paraId="0000001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Names the specific target and stays measurable.</w:t>
            </w:r>
          </w:p>
        </w:tc>
        <w:tc>
          <w:tcP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More specific than the original but still leaves one element unclear.</w:t>
            </w:r>
          </w:p>
        </w:tc>
        <w:tc>
          <w:tcP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Close to the original wording, or the measure is no longer specified.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3b. Why this target</w:t>
            </w:r>
          </w:p>
        </w:tc>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1</w:t>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Reason draws on the case or on the review.</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Reason is plausible but general.</w:t>
            </w:r>
          </w:p>
        </w:tc>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No reason given, or the reason does not match the goal written.</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4. Monday plan</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3</w:t>
            </w:r>
          </w:p>
        </w:tc>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All five rows filled with detail an observer could verify. If-then names a real obstacle and a specific response. Says how they will know it worked and when they will check.</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filled but one or two are too general to verify, or the if-then or the check is vague.</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Rows blank, or they describe the client's goal rather than what the student will do.</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7">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Total</w:t>
            </w:r>
          </w:p>
        </w:tc>
        <w:tc>
          <w:tcP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8</w:t>
            </w:r>
          </w:p>
        </w:tc>
        <w:tc>
          <w:tcP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sz w:val="22"/>
                <w:szCs w:val="22"/>
              </w:rPr>
            </w:pPr>
            <w:r w:rsidDel="00000000" w:rsidR="00000000" w:rsidRPr="00000000">
              <w:rPr>
                <w:rtl w:val="0"/>
              </w:rPr>
            </w:r>
          </w:p>
        </w:tc>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2C">
      <w:pPr>
        <w:pStyle w:val="Heading1"/>
        <w:spacing w:after="140" w:before="300" w:lineRule="auto"/>
        <w:rPr/>
      </w:pPr>
      <w:bookmarkStart w:colFirst="0" w:colLast="0" w:name="_o9mt01c8lwec" w:id="0"/>
      <w:bookmarkEnd w:id="0"/>
      <w:r w:rsidDel="00000000" w:rsidR="00000000" w:rsidRPr="00000000">
        <w:rPr>
          <w:rtl w:val="0"/>
        </w:rPr>
        <w:t xml:space="preserve">Notes for the facilitator</w:t>
      </w:r>
    </w:p>
    <w:p w:rsidR="00000000" w:rsidDel="00000000" w:rsidP="00000000" w:rsidRDefault="00000000" w:rsidRPr="00000000" w14:paraId="0000002D">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the course.</w:t>
      </w:r>
    </w:p>
    <w:p w:rsidR="00000000" w:rsidDel="00000000" w:rsidP="00000000" w:rsidRDefault="00000000" w:rsidRPr="00000000" w14:paraId="0000002E">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Fill in the skills or behaviors (in the summary table and the Part 2a table), the case in Part 2, the topic-specific question in 2b, and the original goal in Part 3. It will be helpful to write the case so that at least one skill or behavior can only be marked "cannot tell."</w:t>
      </w:r>
    </w:p>
    <w:p w:rsidR="00000000" w:rsidDel="00000000" w:rsidP="00000000" w:rsidRDefault="00000000" w:rsidRPr="00000000" w14:paraId="0000002F">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1 is there so students notice that reviews carry a date and link to each other when following the evidence trail. The third field is also important here, so look for an answer tied to this topic rather than a general statement that newer is better.</w:t>
      </w:r>
    </w:p>
    <w:p w:rsidR="00000000" w:rsidDel="00000000" w:rsidP="00000000" w:rsidRDefault="00000000" w:rsidRPr="00000000" w14:paraId="00000030">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4 uses the </w:t>
      </w:r>
      <w:hyperlink r:id="rId6">
        <w:r w:rsidDel="00000000" w:rsidR="00000000" w:rsidRPr="00000000">
          <w:rPr>
            <w:rFonts w:ascii="Open Sans Light" w:cs="Open Sans Light" w:eastAsia="Open Sans Light" w:hAnsi="Open Sans Light"/>
            <w:color w:val="1155cc"/>
            <w:sz w:val="20"/>
            <w:szCs w:val="20"/>
            <w:u w:val="single"/>
            <w:rtl w:val="0"/>
          </w:rPr>
          <w:t xml:space="preserve">Action, actor, context, target, time</w:t>
        </w:r>
      </w:hyperlink>
      <w:r w:rsidDel="00000000" w:rsidR="00000000" w:rsidRPr="00000000">
        <w:rPr>
          <w:rFonts w:ascii="Open Sans Light" w:cs="Open Sans Light" w:eastAsia="Open Sans Light" w:hAnsi="Open Sans Light"/>
          <w:sz w:val="20"/>
          <w:szCs w:val="20"/>
          <w:rtl w:val="0"/>
        </w:rPr>
        <w:t xml:space="preserve"> (</w:t>
      </w:r>
      <w:r w:rsidDel="00000000" w:rsidR="00000000" w:rsidRPr="00000000">
        <w:rPr>
          <w:rFonts w:ascii="Open Sans Light" w:cs="Open Sans Light" w:eastAsia="Open Sans Light" w:hAnsi="Open Sans Light"/>
          <w:sz w:val="20"/>
          <w:szCs w:val="20"/>
          <w:rtl w:val="0"/>
        </w:rPr>
        <w:t xml:space="preserve">AACTT) </w:t>
      </w:r>
      <w:r w:rsidDel="00000000" w:rsidR="00000000" w:rsidRPr="00000000">
        <w:rPr>
          <w:rFonts w:ascii="Open Sans Light" w:cs="Open Sans Light" w:eastAsia="Open Sans Light" w:hAnsi="Open Sans Light"/>
          <w:sz w:val="20"/>
          <w:szCs w:val="20"/>
          <w:rtl w:val="0"/>
        </w:rPr>
        <w:t xml:space="preserve">structure, so a plan that names an action without naming who does it, where, for whom, and how often is not finished.</w:t>
      </w:r>
    </w:p>
    <w:p w:rsidR="00000000" w:rsidDel="00000000" w:rsidP="00000000" w:rsidRDefault="00000000" w:rsidRPr="00000000" w14:paraId="00000031">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The last two prompts in Part 4 follow a plan-do-study-act cycle. The action table and the if-then sentence are the plan, and Monday is the do. Saying what they'd see if it worked and when they'll check covers study and act, which is where students decide whether to keep, adjust, or drop the change. Look for a check that names something observable and a specific session or date.</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Light" w:cs="Open Sans Light" w:eastAsia="Open Sans Light" w:hAnsi="Open Sans Light"/>
          <w:sz w:val="22"/>
          <w:szCs w:val="22"/>
        </w:rPr>
      </w:pPr>
      <w:r w:rsidDel="00000000" w:rsidR="00000000" w:rsidRPr="00000000">
        <w:rPr>
          <w:rtl w:val="0"/>
        </w:rPr>
      </w:r>
    </w:p>
    <w:sectPr>
      <w:headerReference r:id="rId7"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i.org/10.1186/s13012-019-0951-x"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