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50" w:lineRule="auto"/>
        <w:rPr>
          <w:rFonts w:ascii="Open Sans" w:cs="Open Sans" w:eastAsia="Open Sans" w:hAnsi="Open Sans"/>
          <w:color w:val="1f4d78"/>
          <w:sz w:val="46"/>
          <w:szCs w:val="46"/>
        </w:rPr>
      </w:pPr>
      <w:bookmarkStart w:colFirst="0" w:colLast="0" w:name="_vpqvvx1is4to" w:id="0"/>
      <w:bookmarkEnd w:id="0"/>
      <w:r w:rsidDel="00000000" w:rsidR="00000000" w:rsidRPr="00000000">
        <w:rPr>
          <w:rFonts w:ascii="Open Sans" w:cs="Open Sans" w:eastAsia="Open Sans" w:hAnsi="Open Sans"/>
          <w:color w:val="1f4d78"/>
          <w:sz w:val="46"/>
          <w:szCs w:val="46"/>
          <w:rtl w:val="0"/>
        </w:rPr>
        <w:t xml:space="preserve">Around the Table: Template</w:t>
      </w:r>
    </w:p>
    <w:p w:rsidR="00000000" w:rsidDel="00000000" w:rsidP="00000000" w:rsidRDefault="00000000" w:rsidRPr="00000000" w14:paraId="00000002">
      <w:pPr>
        <w:spacing w:after="220" w:line="276" w:lineRule="auto"/>
        <w:rPr>
          <w:rFonts w:ascii="Open Sans Light" w:cs="Open Sans Light" w:eastAsia="Open Sans Light" w:hAnsi="Open Sans Light"/>
          <w:i w:val="1"/>
          <w:iCs w:val="1"/>
          <w:color w:val="9a7b3f"/>
          <w:sz w:val="25"/>
          <w:szCs w:val="25"/>
        </w:rPr>
      </w:pPr>
      <w:r w:rsidDel="00000000" w:rsidR="00000000" w:rsidRPr="00000000">
        <w:rPr>
          <w:rFonts w:ascii="Open Sans Light" w:cs="Open Sans Light" w:eastAsia="Open Sans Light" w:hAnsi="Open Sans Light"/>
          <w:i w:val="1"/>
          <w:iCs w:val="1"/>
          <w:color w:val="9a7b3f"/>
          <w:sz w:val="25"/>
          <w:szCs w:val="25"/>
          <w:rtl w:val="0"/>
        </w:rPr>
        <w:t xml:space="preserve">Making a team decision when the evidence is unsettled</w:t>
      </w:r>
      <w:r w:rsidDel="00000000" w:rsidR="00000000" w:rsidRPr="00000000">
        <w:rPr>
          <w:rtl w:val="0"/>
        </w:rPr>
      </w:r>
    </w:p>
    <w:p w:rsidR="00000000" w:rsidDel="00000000" w:rsidP="00000000" w:rsidRDefault="00000000" w:rsidRPr="00000000" w14:paraId="00000003">
      <w:pPr>
        <w:spacing w:after="22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This assignment gives students practice with the types of real-life decisions that clinicians actually face: when the evidence isn’t clear, and team members have conflicting opinions and perspectives. For this assignment, students read a review independently, work with a group to sort out what the study can and cannot support, apply it to a case, and then make a recommendation. Students don’t need to agree at the end. If group members reach different conclusions, both positions are recorded.</w:t>
      </w:r>
    </w:p>
    <w:p w:rsidR="00000000" w:rsidDel="00000000" w:rsidP="00000000" w:rsidRDefault="00000000" w:rsidRPr="00000000" w14:paraId="00000004">
      <w:pPr>
        <w:pStyle w:val="Heading1"/>
        <w:spacing w:after="220" w:line="276" w:lineRule="auto"/>
        <w:rPr/>
      </w:pPr>
      <w:bookmarkStart w:colFirst="0" w:colLast="0" w:name="_g3y168ior6d4" w:id="1"/>
      <w:bookmarkEnd w:id="1"/>
      <w:r w:rsidDel="00000000" w:rsidR="00000000" w:rsidRPr="00000000">
        <w:rPr>
          <w:rtl w:val="0"/>
        </w:rPr>
        <w:t xml:space="preserve">Instructions</w:t>
      </w:r>
    </w:p>
    <w:p w:rsidR="00000000" w:rsidDel="00000000" w:rsidP="00000000" w:rsidRDefault="00000000" w:rsidRPr="00000000" w14:paraId="00000005">
      <w:pPr>
        <w:spacing w:after="220" w:line="276" w:lineRule="auto"/>
        <w:rPr>
          <w:rFonts w:ascii="Open Sans Light" w:cs="Open Sans Light" w:eastAsia="Open Sans Light" w:hAnsi="Open Sans Light"/>
          <w:color w:val="2e74b5"/>
          <w:sz w:val="22"/>
          <w:szCs w:val="22"/>
        </w:rPr>
      </w:pPr>
      <w:r w:rsidDel="00000000" w:rsidR="00000000" w:rsidRPr="00000000">
        <w:rPr>
          <w:rFonts w:ascii="Open Sans Light" w:cs="Open Sans Light" w:eastAsia="Open Sans Light" w:hAnsi="Open Sans Light"/>
          <w:sz w:val="22"/>
          <w:szCs w:val="22"/>
          <w:rtl w:val="0"/>
        </w:rPr>
        <w:t xml:space="preserve">This is an assignment </w:t>
      </w:r>
      <w:r w:rsidDel="00000000" w:rsidR="00000000" w:rsidRPr="00000000">
        <w:rPr>
          <w:rFonts w:ascii="Open Sans" w:cs="Open Sans" w:eastAsia="Open Sans" w:hAnsi="Open Sans"/>
          <w:b w:val="1"/>
          <w:bCs w:val="1"/>
          <w:sz w:val="22"/>
          <w:szCs w:val="22"/>
          <w:rtl w:val="0"/>
        </w:rPr>
        <w:t xml:space="preserve">template</w:t>
      </w:r>
      <w:r w:rsidDel="00000000" w:rsidR="00000000" w:rsidRPr="00000000">
        <w:rPr>
          <w:rFonts w:ascii="Open Sans Light" w:cs="Open Sans Light" w:eastAsia="Open Sans Light" w:hAnsi="Open Sans Light"/>
          <w:sz w:val="22"/>
          <w:szCs w:val="22"/>
          <w:rtl w:val="0"/>
        </w:rPr>
        <w:t xml:space="preserve">. That means that it provides the broad structure of an assignment, but will need to be adapted to the specific content you are teaching. The portions that need adapting are highlighted in purple throughout.</w:t>
      </w:r>
      <w:r w:rsidDel="00000000" w:rsidR="00000000" w:rsidRPr="00000000">
        <w:rPr>
          <w:rtl w:val="0"/>
        </w:rPr>
      </w:r>
    </w:p>
    <w:p w:rsidR="00000000" w:rsidDel="00000000" w:rsidP="00000000" w:rsidRDefault="00000000" w:rsidRPr="00000000" w14:paraId="00000006">
      <w:pPr>
        <w:pStyle w:val="Heading1"/>
        <w:spacing w:after="220" w:line="276" w:lineRule="auto"/>
        <w:rPr/>
      </w:pPr>
      <w:bookmarkStart w:colFirst="0" w:colLast="0" w:name="_vu52akkgqwo0" w:id="2"/>
      <w:bookmarkEnd w:id="2"/>
      <w:r w:rsidDel="00000000" w:rsidR="00000000" w:rsidRPr="00000000">
        <w:rPr>
          <w:rtl w:val="0"/>
        </w:rPr>
        <w:t xml:space="preserve">Summary table</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[Review Name]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Related journal article</w:t>
            </w:r>
          </w:p>
        </w:tc>
        <w:tc>
          <w:tcP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[link] </w:t>
            </w:r>
          </w:p>
          <w:p w:rsidR="00000000" w:rsidDel="00000000" w:rsidP="00000000" w:rsidRDefault="00000000" w:rsidRPr="00000000" w14:paraId="0000000B">
            <w:pPr>
              <w:spacing w:line="258" w:lineRule="auto"/>
              <w:rPr>
                <w:rFonts w:ascii="Open Sans Light" w:cs="Open Sans Light" w:eastAsia="Open Sans Light" w:hAnsi="Open Sans Light"/>
                <w:i w:val="1"/>
                <w:iCs w:val="1"/>
                <w:sz w:val="22"/>
                <w:szCs w:val="22"/>
                <w:shd w:fill="d9d2e9" w:val="clear"/>
              </w:rPr>
            </w:pPr>
            <w:r w:rsidDel="00000000" w:rsidR="00000000" w:rsidRPr="00000000">
              <w:rPr>
                <w:rtl w:val="0"/>
              </w:rPr>
            </w:r>
          </w:p>
          <w:p w:rsidR="00000000" w:rsidDel="00000000" w:rsidP="00000000" w:rsidRDefault="00000000" w:rsidRPr="00000000" w14:paraId="0000000C">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Note: </w:t>
            </w:r>
            <w:r w:rsidDel="00000000" w:rsidR="00000000" w:rsidRPr="00000000">
              <w:rPr>
                <w:rFonts w:ascii="Open Sans Light" w:cs="Open Sans Light" w:eastAsia="Open Sans Light" w:hAnsi="Open Sans Light"/>
                <w:i w:val="1"/>
                <w:iCs w:val="1"/>
                <w:sz w:val="22"/>
                <w:szCs w:val="22"/>
                <w:shd w:fill="d9d2e9" w:val="clear"/>
                <w:rtl w:val="0"/>
              </w:rPr>
              <w:t xml:space="preserve">This may be optional, depending on the review.</w:t>
            </w:r>
            <w:r w:rsidDel="00000000" w:rsidR="00000000" w:rsidRPr="00000000">
              <w:rPr>
                <w:rFonts w:ascii="Open Sans Light" w:cs="Open Sans Light" w:eastAsia="Open Sans Light" w:hAnsi="Open Sans Light"/>
                <w:i w:val="1"/>
                <w:iCs w:val="1"/>
                <w:sz w:val="22"/>
                <w:szCs w:val="22"/>
                <w:shd w:fill="d9d2e9" w:val="clear"/>
                <w:rtl w:val="0"/>
              </w:rPr>
              <w:t xml:space="preserve"> If reading the original article fits your learning objectives, assign it alongside the review and use one of the topic-specific rows in Part 2 to ask about it.</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Topic</w:t>
            </w:r>
          </w:p>
        </w:tc>
        <w:tc>
          <w:tcP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[Describe topic of review here]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Course fit</w:t>
            </w:r>
          </w:p>
        </w:tc>
        <w:tc>
          <w:tcPr>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sz w:val="22"/>
                <w:szCs w:val="22"/>
                <w:rtl w:val="0"/>
              </w:rPr>
              <w:t xml:space="preserve">Professional issues, EBP, </w:t>
            </w:r>
            <w:r w:rsidDel="00000000" w:rsidR="00000000" w:rsidRPr="00000000">
              <w:rPr>
                <w:rFonts w:ascii="Open Sans Light" w:cs="Open Sans Light" w:eastAsia="Open Sans Light" w:hAnsi="Open Sans Light"/>
                <w:i w:val="1"/>
                <w:iCs w:val="1"/>
                <w:sz w:val="22"/>
                <w:szCs w:val="22"/>
                <w:shd w:fill="d9d2e9" w:val="clear"/>
                <w:rtl w:val="0"/>
              </w:rPr>
              <w:t xml:space="preserve">[topic-specific course]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Time</w:t>
            </w:r>
          </w:p>
        </w:tc>
        <w:tc>
          <w:tcPr>
            <w:tcMar>
              <w:top w:w="80.0" w:type="dxa"/>
              <w:left w:w="120.0" w:type="dxa"/>
              <w:bottom w:w="80.0" w:type="dxa"/>
              <w:right w:w="120.0" w:type="dxa"/>
            </w:tcMar>
          </w:tcPr>
          <w:p w:rsidR="00000000" w:rsidDel="00000000" w:rsidP="00000000" w:rsidRDefault="00000000" w:rsidRPr="00000000" w14:paraId="0000001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45 minutes of class time, groups of 3 to 5</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Points</w:t>
            </w:r>
          </w:p>
        </w:tc>
        <w:tc>
          <w:tcPr>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sz w:val="22"/>
                <w:szCs w:val="22"/>
                <w:shd w:fill="d9d2e9" w:val="clear"/>
                <w:rtl w:val="0"/>
              </w:rPr>
              <w:t xml:space="preserve">8 </w:t>
            </w:r>
            <w:r w:rsidDel="00000000" w:rsidR="00000000" w:rsidRPr="00000000">
              <w:rPr>
                <w:rFonts w:ascii="Open Sans Light" w:cs="Open Sans Light" w:eastAsia="Open Sans Light" w:hAnsi="Open Sans Light"/>
                <w:i w:val="1"/>
                <w:iCs w:val="1"/>
                <w:sz w:val="22"/>
                <w:szCs w:val="22"/>
                <w:shd w:fill="d9d2e9" w:val="clear"/>
                <w:rtl w:val="0"/>
              </w:rPr>
              <w:t xml:space="preserve">[can be adjusted to fit course structure]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CAA standards</w:t>
            </w:r>
          </w:p>
        </w:tc>
        <w:tc>
          <w:tcP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3.1.1B (evidence-based practice) · 3.5B (research foundations) · 3.1.6B (professional practice, interprofessional team) · 3.4B (person- and family-centered care) · </w:t>
            </w:r>
            <w:r w:rsidDel="00000000" w:rsidR="00000000" w:rsidRPr="00000000">
              <w:rPr>
                <w:rFonts w:ascii="Open Sans Light" w:cs="Open Sans Light" w:eastAsia="Open Sans Light" w:hAnsi="Open Sans Light"/>
                <w:i w:val="1"/>
                <w:iCs w:val="1"/>
                <w:sz w:val="22"/>
                <w:szCs w:val="22"/>
                <w:rtl w:val="0"/>
              </w:rPr>
              <w:t xml:space="preserve">[3.1.5B if the review addresses intervention]</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CFCC certification standards (effective August 2027)</w:t>
            </w:r>
          </w:p>
        </w:tc>
        <w:tc>
          <w:tcP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IV-D (assessment and intervention methods) · IV-F (relating research to clinical practice) · IV-G (contemporary professional issues) · V-B 3b (interprofessional, team-based practice)</w:t>
            </w:r>
          </w:p>
        </w:tc>
      </w:tr>
    </w:tbl>
    <w:p w:rsidR="00000000" w:rsidDel="00000000" w:rsidP="00000000" w:rsidRDefault="00000000" w:rsidRPr="00000000" w14:paraId="00000019">
      <w:pPr>
        <w:pStyle w:val="Heading1"/>
        <w:spacing w:after="100" w:before="220" w:lineRule="auto"/>
        <w:rPr/>
      </w:pPr>
      <w:bookmarkStart w:colFirst="0" w:colLast="0" w:name="_arikm6xzfvg2" w:id="3"/>
      <w:bookmarkEnd w:id="3"/>
      <w:r w:rsidDel="00000000" w:rsidR="00000000" w:rsidRPr="00000000">
        <w:rPr>
          <w:rtl w:val="0"/>
        </w:rPr>
        <w:t xml:space="preserve">Learning objectives</w:t>
      </w:r>
    </w:p>
    <w:p w:rsidR="00000000" w:rsidDel="00000000" w:rsidP="00000000" w:rsidRDefault="00000000" w:rsidRPr="00000000" w14:paraId="0000001A">
      <w:pPr>
        <w:spacing w:after="100" w:before="0"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By the end of this assignment, students will be able to:</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7220"/>
        <w:gridCol w:w="1850"/>
        <w:tblGridChange w:id="0">
          <w:tblGrid>
            <w:gridCol w:w="1700"/>
            <w:gridCol w:w="7220"/>
            <w:gridCol w:w="185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Level</w:t>
            </w:r>
          </w:p>
        </w:tc>
        <w:tc>
          <w:tcPr>
            <w:shd w:fill="e8f1f2" w:val="clea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Objective</w:t>
            </w:r>
          </w:p>
        </w:tc>
        <w:tc>
          <w:tcPr>
            <w:shd w:fill="e8f1f2" w:val="clea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Where it happens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Apply</w:t>
            </w:r>
          </w:p>
        </w:tc>
        <w:tc>
          <w:tcP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Apply the findings of the review to a client who doesn’t exactly match the population that was studied.</w:t>
            </w:r>
          </w:p>
        </w:tc>
        <w:tc>
          <w:tcP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3</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Analyze</w:t>
            </w:r>
          </w:p>
        </w:tc>
        <w:tc>
          <w:tcP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Separate what the review can support from what it cannot, given its design and its sample, and identify what would have to be true for a different conclusion to hold.</w:t>
            </w:r>
          </w:p>
        </w:tc>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Parts 2, 3, and 4</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Create</w:t>
            </w:r>
          </w:p>
        </w:tc>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Write a recommendation to the team that names what happens today, what information is wanted next, and what to watch for.</w:t>
            </w:r>
          </w:p>
        </w:tc>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3</w:t>
            </w:r>
          </w:p>
        </w:tc>
      </w:tr>
    </w:tbl>
    <w:p w:rsidR="00000000" w:rsidDel="00000000" w:rsidP="00000000" w:rsidRDefault="00000000" w:rsidRPr="00000000" w14:paraId="00000027">
      <w:pPr>
        <w:pStyle w:val="Heading1"/>
        <w:spacing w:after="100" w:before="220" w:lineRule="auto"/>
        <w:rPr/>
      </w:pPr>
      <w:bookmarkStart w:colFirst="0" w:colLast="0" w:name="_5ykc4lod8twh" w:id="4"/>
      <w:bookmarkEnd w:id="4"/>
      <w:r w:rsidDel="00000000" w:rsidR="00000000" w:rsidRPr="00000000">
        <w:rPr>
          <w:rtl w:val="0"/>
        </w:rPr>
        <w:t xml:space="preserve">Format options</w:t>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905"/>
        <w:gridCol w:w="7365"/>
        <w:tblGridChange w:id="0">
          <w:tblGrid>
            <w:gridCol w:w="1500"/>
            <w:gridCol w:w="1905"/>
            <w:gridCol w:w="7365"/>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sz w:val="22"/>
                <w:szCs w:val="22"/>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2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 written</w:t>
            </w:r>
          </w:p>
        </w:tc>
        <w:tc>
          <w:tcPr>
            <w:shd w:fill="e8f1f2" w:val="clear"/>
            <w:tcMar>
              <w:top w:w="80.0" w:type="dxa"/>
              <w:left w:w="120.0" w:type="dxa"/>
              <w:bottom w:w="80.0" w:type="dxa"/>
              <w:right w:w="120.0" w:type="dxa"/>
            </w:tcMar>
          </w:tcPr>
          <w:p w:rsidR="00000000" w:rsidDel="00000000" w:rsidP="00000000" w:rsidRDefault="00000000" w:rsidRPr="00000000" w14:paraId="0000002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 switch up</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Access</w:t>
            </w:r>
          </w:p>
        </w:tc>
        <w:tc>
          <w:tcPr>
            <w:tcMar>
              <w:top w:w="80.0" w:type="dxa"/>
              <w:left w:w="120.0" w:type="dxa"/>
              <w:bottom w:w="80.0" w:type="dxa"/>
              <w:right w:w="120.0" w:type="dxa"/>
            </w:tcMar>
          </w:tcPr>
          <w:p w:rsidR="00000000" w:rsidDel="00000000" w:rsidP="00000000" w:rsidRDefault="00000000" w:rsidRPr="00000000" w14:paraId="0000002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Member content</w:t>
            </w:r>
          </w:p>
        </w:tc>
        <w:tc>
          <w:tcPr>
            <w:tcMar>
              <w:top w:w="80.0" w:type="dxa"/>
              <w:left w:w="120.0" w:type="dxa"/>
              <w:bottom w:w="80.0" w:type="dxa"/>
              <w:right w:w="120.0" w:type="dxa"/>
            </w:tcMar>
          </w:tcPr>
          <w:p w:rsidR="00000000" w:rsidDel="00000000" w:rsidP="00000000" w:rsidRDefault="00000000" w:rsidRPr="00000000" w14:paraId="0000002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Any review on an unsettled question works. Swap the review and the case, and adjust the structure.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Timing</w:t>
            </w:r>
          </w:p>
        </w:tc>
        <w:tc>
          <w:tcPr>
            <w:tcMar>
              <w:top w:w="80.0" w:type="dxa"/>
              <w:left w:w="120.0" w:type="dxa"/>
              <w:bottom w:w="80.0" w:type="dxa"/>
              <w:right w:w="120.0" w:type="dxa"/>
            </w:tcMar>
          </w:tcPr>
          <w:p w:rsidR="00000000" w:rsidDel="00000000" w:rsidP="00000000" w:rsidRDefault="00000000" w:rsidRPr="00000000" w14:paraId="0000002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Synchronous</w:t>
            </w:r>
          </w:p>
        </w:tc>
        <w:tc>
          <w:tcPr>
            <w:tcMar>
              <w:top w:w="80.0" w:type="dxa"/>
              <w:left w:w="120.0" w:type="dxa"/>
              <w:bottom w:w="80.0" w:type="dxa"/>
              <w:right w:w="120.0" w:type="dxa"/>
            </w:tcMar>
          </w:tcPr>
          <w:p w:rsidR="00000000" w:rsidDel="00000000" w:rsidP="00000000" w:rsidRDefault="00000000" w:rsidRPr="00000000" w14:paraId="0000003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For asynchronous, assign Parts 1 and 2 individually and run Part 3 on a discussion board.</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Grouping</w:t>
            </w:r>
          </w:p>
        </w:tc>
        <w:tc>
          <w:tcPr>
            <w:tcMar>
              <w:top w:w="80.0" w:type="dxa"/>
              <w:left w:w="120.0" w:type="dxa"/>
              <w:bottom w:w="80.0" w:type="dxa"/>
              <w:right w:w="120.0" w:type="dxa"/>
            </w:tcMar>
          </w:tcPr>
          <w:p w:rsidR="00000000" w:rsidDel="00000000" w:rsidP="00000000" w:rsidRDefault="00000000" w:rsidRPr="00000000" w14:paraId="0000003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Groups of 3 to 5</w:t>
            </w:r>
          </w:p>
        </w:tc>
        <w:tc>
          <w:tcPr>
            <w:tcMar>
              <w:top w:w="80.0" w:type="dxa"/>
              <w:left w:w="120.0" w:type="dxa"/>
              <w:bottom w:w="80.0" w:type="dxa"/>
              <w:right w:w="120.0" w:type="dxa"/>
            </w:tcMar>
          </w:tcPr>
          <w:p w:rsidR="00000000" w:rsidDel="00000000" w:rsidP="00000000" w:rsidRDefault="00000000" w:rsidRPr="00000000" w14:paraId="0000003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For individual work, Parts 1, 2, and 4 stand alone. Part 3 loses most of its value without a group.</w:t>
            </w:r>
          </w:p>
        </w:tc>
      </w:tr>
    </w:tbl>
    <w:p w:rsidR="00000000" w:rsidDel="00000000" w:rsidP="00000000" w:rsidRDefault="00000000" w:rsidRPr="00000000" w14:paraId="00000034">
      <w:pPr>
        <w:pStyle w:val="Heading1"/>
        <w:spacing w:after="140" w:before="300"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color w:val="1b3a57"/>
          <w:sz w:val="28"/>
          <w:szCs w:val="28"/>
          <w:rtl w:val="0"/>
        </w:rPr>
        <w:t xml:space="preserve">How the session runs</w:t>
      </w:r>
      <w:r w:rsidDel="00000000" w:rsidR="00000000" w:rsidRPr="00000000">
        <w:rPr>
          <w:rtl w:val="0"/>
        </w:rPr>
      </w:r>
    </w:p>
    <w:tbl>
      <w:tblPr>
        <w:tblStyle w:val="Table4"/>
        <w:tblW w:w="107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5"/>
        <w:gridCol w:w="9690"/>
        <w:tblGridChange w:id="0">
          <w:tblGrid>
            <w:gridCol w:w="1095"/>
            <w:gridCol w:w="969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5 min</w:t>
            </w:r>
          </w:p>
        </w:tc>
        <w:tc>
          <w:tcPr>
            <w:tcMar>
              <w:top w:w="80.0" w:type="dxa"/>
              <w:left w:w="120.0" w:type="dxa"/>
              <w:bottom w:w="80.0" w:type="dxa"/>
              <w:right w:w="120.0" w:type="dxa"/>
            </w:tcMar>
          </w:tcPr>
          <w:p w:rsidR="00000000" w:rsidDel="00000000" w:rsidP="00000000" w:rsidRDefault="00000000" w:rsidRPr="00000000" w14:paraId="0000003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1, on your own. Read the review beforehand and write your starting position.</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15 min</w:t>
            </w:r>
          </w:p>
        </w:tc>
        <w:tc>
          <w:tcPr>
            <w:tcMar>
              <w:top w:w="80.0" w:type="dxa"/>
              <w:left w:w="120.0" w:type="dxa"/>
              <w:bottom w:w="80.0" w:type="dxa"/>
              <w:right w:w="120.0" w:type="dxa"/>
            </w:tcMar>
          </w:tcPr>
          <w:p w:rsidR="00000000" w:rsidDel="00000000" w:rsidP="00000000" w:rsidRDefault="00000000" w:rsidRPr="00000000" w14:paraId="0000003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2, as a group. Sort out what the study can and cannot tell you.</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20 min</w:t>
            </w:r>
          </w:p>
        </w:tc>
        <w:tc>
          <w:tcPr>
            <w:tcMar>
              <w:top w:w="80.0" w:type="dxa"/>
              <w:left w:w="120.0" w:type="dxa"/>
              <w:bottom w:w="80.0" w:type="dxa"/>
              <w:right w:w="120.0" w:type="dxa"/>
            </w:tcMar>
          </w:tcPr>
          <w:p w:rsidR="00000000" w:rsidDel="00000000" w:rsidP="00000000" w:rsidRDefault="00000000" w:rsidRPr="00000000" w14:paraId="0000003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3, as a group. Work the case and write a recommendation.</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5 min</w:t>
            </w:r>
          </w:p>
        </w:tc>
        <w:tc>
          <w:tcPr>
            <w:tcMar>
              <w:top w:w="80.0" w:type="dxa"/>
              <w:left w:w="120.0" w:type="dxa"/>
              <w:bottom w:w="80.0" w:type="dxa"/>
              <w:right w:w="120.0" w:type="dxa"/>
            </w:tcMar>
          </w:tcPr>
          <w:p w:rsidR="00000000" w:rsidDel="00000000" w:rsidP="00000000" w:rsidRDefault="00000000" w:rsidRPr="00000000" w14:paraId="0000003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4, on your own. Write your closing position.</w:t>
            </w:r>
          </w:p>
        </w:tc>
      </w:tr>
    </w:tbl>
    <w:p w:rsidR="00000000" w:rsidDel="00000000" w:rsidP="00000000" w:rsidRDefault="00000000" w:rsidRPr="00000000" w14:paraId="0000003D">
      <w:pPr>
        <w:spacing w:after="6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Your group does not have to agree. If you land in different places, record both positions in Part 3.</w:t>
      </w:r>
      <w:r w:rsidDel="00000000" w:rsidR="00000000" w:rsidRPr="00000000">
        <w:rPr>
          <w:rtl w:val="0"/>
        </w:rPr>
      </w:r>
    </w:p>
    <w:p w:rsidR="00000000" w:rsidDel="00000000" w:rsidP="00000000" w:rsidRDefault="00000000" w:rsidRPr="00000000" w14:paraId="0000003E">
      <w:pPr>
        <w:rPr>
          <w:rFonts w:ascii="Open Sans Light" w:cs="Open Sans Light" w:eastAsia="Open Sans Light" w:hAnsi="Open Sans Light"/>
        </w:rPr>
      </w:pPr>
      <w:r w:rsidDel="00000000" w:rsidR="00000000" w:rsidRPr="00000000">
        <w:rPr>
          <w:rtl w:val="0"/>
        </w:rPr>
      </w:r>
    </w:p>
    <w:sectPr>
      <w:head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